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CA" w:rsidRPr="00F31CD4" w:rsidRDefault="00684E7C" w:rsidP="00C77CCA">
      <w:pPr>
        <w:keepNext/>
        <w:keepLines/>
        <w:pBdr>
          <w:bottom w:val="single" w:sz="4" w:space="1" w:color="1F497D" w:themeColor="text2"/>
        </w:pBdr>
        <w:spacing w:before="480" w:after="60"/>
        <w:jc w:val="center"/>
        <w:outlineLvl w:val="0"/>
        <w:rPr>
          <w:rFonts w:asciiTheme="majorHAnsi" w:eastAsiaTheme="majorEastAsia" w:hAnsiTheme="majorHAnsi" w:cstheme="majorBidi"/>
          <w:b/>
          <w:bCs/>
          <w:color w:val="365F91" w:themeColor="accent1" w:themeShade="BF"/>
          <w:sz w:val="32"/>
          <w:szCs w:val="32"/>
        </w:rPr>
      </w:pPr>
      <w:bookmarkStart w:id="0" w:name="_GoBack"/>
      <w:bookmarkEnd w:id="0"/>
      <w:r w:rsidRPr="00F31CD4">
        <w:rPr>
          <w:rFonts w:asciiTheme="majorHAnsi" w:eastAsiaTheme="majorEastAsia" w:hAnsiTheme="majorHAnsi" w:cstheme="majorBidi"/>
          <w:b/>
          <w:bCs/>
          <w:color w:val="365F91" w:themeColor="accent1" w:themeShade="BF"/>
          <w:sz w:val="32"/>
          <w:szCs w:val="32"/>
        </w:rPr>
        <w:t xml:space="preserve">Fine </w:t>
      </w:r>
      <w:r w:rsidR="00F072C9">
        <w:rPr>
          <w:rFonts w:asciiTheme="majorHAnsi" w:eastAsiaTheme="majorEastAsia" w:hAnsiTheme="majorHAnsi" w:cstheme="majorBidi"/>
          <w:b/>
          <w:bCs/>
          <w:color w:val="365F91" w:themeColor="accent1" w:themeShade="BF"/>
          <w:sz w:val="32"/>
          <w:szCs w:val="32"/>
        </w:rPr>
        <w:t>d</w:t>
      </w:r>
      <w:r w:rsidRPr="00F31CD4">
        <w:rPr>
          <w:rFonts w:asciiTheme="majorHAnsi" w:eastAsiaTheme="majorEastAsia" w:hAnsiTheme="majorHAnsi" w:cstheme="majorBidi"/>
          <w:b/>
          <w:bCs/>
          <w:color w:val="365F91" w:themeColor="accent1" w:themeShade="BF"/>
          <w:sz w:val="32"/>
          <w:szCs w:val="32"/>
        </w:rPr>
        <w:t>efaulters in</w:t>
      </w:r>
      <w:r w:rsidR="00CE3048" w:rsidRPr="00F31CD4">
        <w:rPr>
          <w:rFonts w:asciiTheme="majorHAnsi" w:eastAsiaTheme="majorEastAsia" w:hAnsiTheme="majorHAnsi" w:cstheme="majorBidi"/>
          <w:b/>
          <w:bCs/>
          <w:color w:val="365F91" w:themeColor="accent1" w:themeShade="BF"/>
          <w:sz w:val="32"/>
          <w:szCs w:val="32"/>
        </w:rPr>
        <w:t xml:space="preserve"> Western Australi</w:t>
      </w:r>
      <w:r w:rsidR="00F072C9">
        <w:rPr>
          <w:rFonts w:asciiTheme="majorHAnsi" w:eastAsiaTheme="majorEastAsia" w:hAnsiTheme="majorHAnsi" w:cstheme="majorBidi"/>
          <w:b/>
          <w:bCs/>
          <w:color w:val="365F91" w:themeColor="accent1" w:themeShade="BF"/>
          <w:sz w:val="32"/>
          <w:szCs w:val="32"/>
        </w:rPr>
        <w:t>a</w:t>
      </w:r>
    </w:p>
    <w:p w:rsidR="00C77CCA" w:rsidRPr="00F31CD4" w:rsidRDefault="00C77CCA" w:rsidP="00C77CCA">
      <w:pPr>
        <w:keepNext/>
        <w:keepLines/>
        <w:pBdr>
          <w:bottom w:val="single" w:sz="4" w:space="1" w:color="1F497D" w:themeColor="text2"/>
        </w:pBdr>
        <w:spacing w:before="480" w:after="60"/>
        <w:ind w:left="709" w:hanging="709"/>
        <w:outlineLvl w:val="0"/>
        <w:rPr>
          <w:rFonts w:asciiTheme="majorHAnsi" w:eastAsiaTheme="majorEastAsia" w:hAnsiTheme="majorHAnsi" w:cstheme="majorBidi"/>
          <w:b/>
          <w:bCs/>
          <w:color w:val="365F91" w:themeColor="accent1" w:themeShade="BF"/>
          <w:sz w:val="28"/>
          <w:szCs w:val="28"/>
        </w:rPr>
      </w:pPr>
      <w:r w:rsidRPr="00F31CD4">
        <w:rPr>
          <w:rFonts w:asciiTheme="majorHAnsi" w:eastAsiaTheme="majorEastAsia" w:hAnsiTheme="majorHAnsi" w:cstheme="majorBidi"/>
          <w:b/>
          <w:bCs/>
          <w:color w:val="365F91" w:themeColor="accent1" w:themeShade="BF"/>
          <w:sz w:val="28"/>
          <w:szCs w:val="28"/>
        </w:rPr>
        <w:t>Background</w:t>
      </w:r>
    </w:p>
    <w:p w:rsidR="00157251" w:rsidRPr="002222D9" w:rsidRDefault="008A5712" w:rsidP="00DB6DF9">
      <w:pPr>
        <w:rPr>
          <w:rFonts w:asciiTheme="majorHAnsi" w:hAnsiTheme="majorHAnsi"/>
        </w:rPr>
      </w:pPr>
      <w:r w:rsidRPr="002222D9">
        <w:rPr>
          <w:rFonts w:asciiTheme="majorHAnsi" w:hAnsiTheme="majorHAnsi"/>
        </w:rPr>
        <w:t>In Western Australia, w</w:t>
      </w:r>
      <w:r w:rsidR="00623CA3" w:rsidRPr="002222D9">
        <w:rPr>
          <w:rFonts w:asciiTheme="majorHAnsi" w:hAnsiTheme="majorHAnsi"/>
        </w:rPr>
        <w:t>hen an individual is unable or refuses to pay a fine issued by either the police or the courts, there are several penalties that can be put in plac</w:t>
      </w:r>
      <w:r w:rsidRPr="002222D9">
        <w:rPr>
          <w:rFonts w:asciiTheme="majorHAnsi" w:hAnsiTheme="majorHAnsi"/>
        </w:rPr>
        <w:t>e.</w:t>
      </w:r>
      <w:r w:rsidR="00157251" w:rsidRPr="002222D9">
        <w:rPr>
          <w:rFonts w:asciiTheme="majorHAnsi" w:hAnsiTheme="majorHAnsi"/>
        </w:rPr>
        <w:t xml:space="preserve"> </w:t>
      </w:r>
      <w:r w:rsidR="00637918" w:rsidRPr="002222D9">
        <w:rPr>
          <w:rFonts w:asciiTheme="majorHAnsi" w:hAnsiTheme="majorHAnsi"/>
        </w:rPr>
        <w:t>This includes</w:t>
      </w:r>
      <w:r w:rsidR="00157251" w:rsidRPr="002222D9">
        <w:rPr>
          <w:rFonts w:asciiTheme="majorHAnsi" w:hAnsiTheme="majorHAnsi"/>
        </w:rPr>
        <w:t xml:space="preserve"> suspension of driver</w:t>
      </w:r>
      <w:r w:rsidR="00E578CD" w:rsidRPr="002222D9">
        <w:rPr>
          <w:rFonts w:asciiTheme="majorHAnsi" w:hAnsiTheme="majorHAnsi"/>
        </w:rPr>
        <w:t>’</w:t>
      </w:r>
      <w:r w:rsidR="00157251" w:rsidRPr="002222D9">
        <w:rPr>
          <w:rFonts w:asciiTheme="majorHAnsi" w:hAnsiTheme="majorHAnsi"/>
        </w:rPr>
        <w:t>s licences, additional enforcement costs, immobilisation of an individual’s vehicle</w:t>
      </w:r>
      <w:r w:rsidR="00637918" w:rsidRPr="002222D9">
        <w:rPr>
          <w:rFonts w:asciiTheme="majorHAnsi" w:hAnsiTheme="majorHAnsi"/>
        </w:rPr>
        <w:t>,</w:t>
      </w:r>
      <w:r w:rsidR="00157251" w:rsidRPr="002222D9">
        <w:rPr>
          <w:rFonts w:asciiTheme="majorHAnsi" w:hAnsiTheme="majorHAnsi"/>
        </w:rPr>
        <w:t xml:space="preserve"> seizure of owned goods, </w:t>
      </w:r>
      <w:r w:rsidR="00E94F7D" w:rsidRPr="002222D9">
        <w:rPr>
          <w:rFonts w:asciiTheme="majorHAnsi" w:hAnsiTheme="majorHAnsi"/>
        </w:rPr>
        <w:t xml:space="preserve">and </w:t>
      </w:r>
      <w:r w:rsidR="00157251" w:rsidRPr="002222D9">
        <w:rPr>
          <w:rFonts w:asciiTheme="majorHAnsi" w:hAnsiTheme="majorHAnsi"/>
        </w:rPr>
        <w:t>community service/work and development orders</w:t>
      </w:r>
      <w:r w:rsidR="00E94F7D" w:rsidRPr="002222D9">
        <w:rPr>
          <w:rFonts w:asciiTheme="majorHAnsi" w:hAnsiTheme="majorHAnsi"/>
        </w:rPr>
        <w:t>.  If the person fails to pay a fine either via a payment place or through completing a community service order (CSOs) they may be</w:t>
      </w:r>
      <w:r w:rsidR="00D92E0D" w:rsidRPr="002222D9">
        <w:rPr>
          <w:rFonts w:asciiTheme="majorHAnsi" w:hAnsiTheme="majorHAnsi"/>
        </w:rPr>
        <w:t xml:space="preserve"> </w:t>
      </w:r>
      <w:r w:rsidR="00E94F7D" w:rsidRPr="002222D9">
        <w:rPr>
          <w:rFonts w:asciiTheme="majorHAnsi" w:hAnsiTheme="majorHAnsi"/>
        </w:rPr>
        <w:t>sent to prison.  This is supposed to be considered to be a ‘last resort’ option</w:t>
      </w:r>
      <w:r w:rsidR="008766EE" w:rsidRPr="002222D9">
        <w:rPr>
          <w:rFonts w:asciiTheme="majorHAnsi" w:hAnsiTheme="majorHAnsi"/>
        </w:rPr>
        <w:t>.</w:t>
      </w:r>
      <w:r w:rsidR="008766EE" w:rsidRPr="00BC5ECB">
        <w:rPr>
          <w:vertAlign w:val="superscript"/>
        </w:rPr>
        <w:footnoteReference w:id="1"/>
      </w:r>
    </w:p>
    <w:p w:rsidR="0083092B" w:rsidRDefault="00AF1F22" w:rsidP="00DB6DF9">
      <w:pPr>
        <w:rPr>
          <w:rFonts w:asciiTheme="majorHAnsi" w:hAnsiTheme="majorHAnsi"/>
        </w:rPr>
      </w:pPr>
      <w:r>
        <w:rPr>
          <w:rFonts w:asciiTheme="majorHAnsi" w:hAnsiTheme="majorHAnsi"/>
        </w:rPr>
        <w:t>Data from the Department of Corrective Services shows t</w:t>
      </w:r>
      <w:r w:rsidR="008E62B9" w:rsidRPr="00C570A7">
        <w:rPr>
          <w:rFonts w:asciiTheme="majorHAnsi" w:hAnsiTheme="majorHAnsi"/>
        </w:rPr>
        <w:t xml:space="preserve">he number of fine default only receptions into custodial facilities </w:t>
      </w:r>
      <w:r w:rsidR="008E62B9">
        <w:rPr>
          <w:rFonts w:asciiTheme="majorHAnsi" w:hAnsiTheme="majorHAnsi"/>
        </w:rPr>
        <w:t xml:space="preserve">has </w:t>
      </w:r>
      <w:r w:rsidR="008E62B9" w:rsidRPr="00C570A7">
        <w:rPr>
          <w:rFonts w:asciiTheme="majorHAnsi" w:hAnsiTheme="majorHAnsi"/>
        </w:rPr>
        <w:t>increased by 11 per cent in the last five years</w:t>
      </w:r>
      <w:r w:rsidRPr="00BC5ECB">
        <w:rPr>
          <w:vertAlign w:val="superscript"/>
        </w:rPr>
        <w:footnoteReference w:id="2"/>
      </w:r>
      <w:r w:rsidR="008E62B9" w:rsidRPr="00C570A7">
        <w:rPr>
          <w:rFonts w:asciiTheme="majorHAnsi" w:hAnsiTheme="majorHAnsi"/>
        </w:rPr>
        <w:t xml:space="preserve">. </w:t>
      </w:r>
      <w:r w:rsidR="008E62B9">
        <w:rPr>
          <w:rFonts w:asciiTheme="majorHAnsi" w:hAnsiTheme="majorHAnsi"/>
        </w:rPr>
        <w:t xml:space="preserve"> </w:t>
      </w:r>
      <w:r w:rsidR="00C23139">
        <w:rPr>
          <w:rFonts w:asciiTheme="majorHAnsi" w:hAnsiTheme="majorHAnsi"/>
        </w:rPr>
        <w:t xml:space="preserve">Given the expanding prisoner population this does not appear to be disproportionate, </w:t>
      </w:r>
      <w:r w:rsidR="00C23139" w:rsidRPr="00A76963">
        <w:rPr>
          <w:rFonts w:asciiTheme="majorHAnsi" w:hAnsiTheme="majorHAnsi"/>
        </w:rPr>
        <w:t>however</w:t>
      </w:r>
      <w:r w:rsidR="00C23139">
        <w:rPr>
          <w:rFonts w:asciiTheme="majorHAnsi" w:hAnsiTheme="majorHAnsi"/>
        </w:rPr>
        <w:t xml:space="preserve"> information </w:t>
      </w:r>
      <w:r w:rsidR="00C23139" w:rsidRPr="00DB6DF9">
        <w:rPr>
          <w:rFonts w:asciiTheme="majorHAnsi" w:hAnsiTheme="majorHAnsi"/>
        </w:rPr>
        <w:t xml:space="preserve">tabled </w:t>
      </w:r>
      <w:r w:rsidR="00C23139">
        <w:rPr>
          <w:rFonts w:asciiTheme="majorHAnsi" w:hAnsiTheme="majorHAnsi"/>
        </w:rPr>
        <w:t>in</w:t>
      </w:r>
      <w:r w:rsidR="00C23139" w:rsidRPr="00DB6DF9">
        <w:rPr>
          <w:rFonts w:asciiTheme="majorHAnsi" w:hAnsiTheme="majorHAnsi"/>
        </w:rPr>
        <w:t xml:space="preserve"> the Legislative Assembly on 16 September 2014</w:t>
      </w:r>
      <w:r w:rsidR="00C23139" w:rsidRPr="00BC5ECB">
        <w:rPr>
          <w:rFonts w:asciiTheme="majorHAnsi" w:hAnsiTheme="majorHAnsi"/>
          <w:vertAlign w:val="superscript"/>
        </w:rPr>
        <w:footnoteReference w:id="3"/>
      </w:r>
      <w:r w:rsidR="00C23139" w:rsidRPr="00BC5ECB">
        <w:rPr>
          <w:rFonts w:asciiTheme="majorHAnsi" w:hAnsiTheme="majorHAnsi"/>
          <w:vertAlign w:val="superscript"/>
        </w:rPr>
        <w:t xml:space="preserve"> </w:t>
      </w:r>
      <w:r w:rsidR="0083092B">
        <w:rPr>
          <w:rFonts w:asciiTheme="majorHAnsi" w:hAnsiTheme="majorHAnsi"/>
        </w:rPr>
        <w:t xml:space="preserve">shows </w:t>
      </w:r>
      <w:r w:rsidR="00EB1B77">
        <w:rPr>
          <w:rFonts w:asciiTheme="majorHAnsi" w:hAnsiTheme="majorHAnsi"/>
        </w:rPr>
        <w:t>a dramatic increase in fine defaults from 2008 to 2013.  An assessment of both sets of data indicate</w:t>
      </w:r>
      <w:r w:rsidR="00A76963">
        <w:rPr>
          <w:rFonts w:asciiTheme="majorHAnsi" w:hAnsiTheme="majorHAnsi"/>
        </w:rPr>
        <w:t>s</w:t>
      </w:r>
      <w:r w:rsidR="00EB1B77">
        <w:rPr>
          <w:rFonts w:asciiTheme="majorHAnsi" w:hAnsiTheme="majorHAnsi"/>
        </w:rPr>
        <w:t xml:space="preserve"> there was sharp increase in fine defaults in 2008 and 2009 and these high numbers have remained.  </w:t>
      </w:r>
    </w:p>
    <w:p w:rsidR="0083092B" w:rsidRPr="00DB6DF9" w:rsidRDefault="0083092B" w:rsidP="0083092B">
      <w:pPr>
        <w:rPr>
          <w:rFonts w:asciiTheme="majorHAnsi" w:hAnsiTheme="majorHAnsi"/>
        </w:rPr>
      </w:pPr>
      <w:r>
        <w:rPr>
          <w:rFonts w:asciiTheme="majorHAnsi" w:hAnsiTheme="majorHAnsi"/>
        </w:rPr>
        <w:t>K</w:t>
      </w:r>
      <w:r w:rsidRPr="00DB6DF9">
        <w:rPr>
          <w:rFonts w:asciiTheme="majorHAnsi" w:hAnsiTheme="majorHAnsi"/>
        </w:rPr>
        <w:t xml:space="preserve">ey legislative and policy changes occurred </w:t>
      </w:r>
      <w:r>
        <w:rPr>
          <w:rFonts w:asciiTheme="majorHAnsi" w:hAnsiTheme="majorHAnsi"/>
        </w:rPr>
        <w:t>in 2008 and 2009, namely</w:t>
      </w:r>
      <w:r w:rsidRPr="00DB6DF9">
        <w:rPr>
          <w:rFonts w:asciiTheme="majorHAnsi" w:hAnsiTheme="majorHAnsi"/>
        </w:rPr>
        <w:t>:</w:t>
      </w:r>
    </w:p>
    <w:p w:rsidR="0083092B" w:rsidRPr="00DB6DF9" w:rsidRDefault="0083092B" w:rsidP="0083092B">
      <w:pPr>
        <w:pStyle w:val="ListParagraph"/>
        <w:numPr>
          <w:ilvl w:val="0"/>
          <w:numId w:val="11"/>
        </w:numPr>
        <w:spacing w:after="200" w:line="276" w:lineRule="auto"/>
        <w:contextualSpacing/>
        <w:rPr>
          <w:rFonts w:asciiTheme="majorHAnsi" w:hAnsiTheme="majorHAnsi"/>
        </w:rPr>
      </w:pPr>
      <w:r w:rsidRPr="00DB6DF9">
        <w:rPr>
          <w:rFonts w:asciiTheme="majorHAnsi" w:hAnsiTheme="majorHAnsi"/>
        </w:rPr>
        <w:t>A legislative change that came into effect in March 2008 that enabled fine defaulters to pay off outstanding fines concurrently; and</w:t>
      </w:r>
    </w:p>
    <w:p w:rsidR="0083092B" w:rsidRPr="00DB6DF9" w:rsidRDefault="0083092B" w:rsidP="0083092B">
      <w:pPr>
        <w:pStyle w:val="ListParagraph"/>
        <w:numPr>
          <w:ilvl w:val="0"/>
          <w:numId w:val="11"/>
        </w:numPr>
        <w:spacing w:after="200" w:line="276" w:lineRule="auto"/>
        <w:contextualSpacing/>
        <w:rPr>
          <w:rFonts w:asciiTheme="majorHAnsi" w:hAnsiTheme="majorHAnsi"/>
        </w:rPr>
      </w:pPr>
      <w:r w:rsidRPr="00DB6DF9">
        <w:rPr>
          <w:rFonts w:asciiTheme="majorHAnsi" w:hAnsiTheme="majorHAnsi"/>
        </w:rPr>
        <w:t xml:space="preserve">A policy change that came into effect in early 2009 that resulted in far stricter breach conditions for people on community supervision orders (CSO’s). </w:t>
      </w:r>
    </w:p>
    <w:p w:rsidR="00F50638" w:rsidRPr="004C21D1" w:rsidRDefault="00AC2087">
      <w:pPr>
        <w:spacing w:line="240" w:lineRule="auto"/>
        <w:rPr>
          <w:rFonts w:asciiTheme="majorHAnsi" w:hAnsiTheme="majorHAnsi"/>
        </w:rPr>
      </w:pPr>
      <w:r>
        <w:rPr>
          <w:rFonts w:asciiTheme="majorHAnsi" w:hAnsiTheme="majorHAnsi"/>
        </w:rPr>
        <w:t xml:space="preserve">Fines can be ‘paid’ at </w:t>
      </w:r>
      <w:r w:rsidR="001D26C9" w:rsidRPr="002222D9">
        <w:rPr>
          <w:rFonts w:asciiTheme="majorHAnsi" w:hAnsiTheme="majorHAnsi"/>
        </w:rPr>
        <w:t xml:space="preserve">an approximate rate of $250 per day </w:t>
      </w:r>
      <w:r>
        <w:rPr>
          <w:rFonts w:asciiTheme="majorHAnsi" w:hAnsiTheme="majorHAnsi"/>
        </w:rPr>
        <w:t xml:space="preserve">which may be </w:t>
      </w:r>
      <w:r w:rsidR="001D26C9" w:rsidRPr="002222D9">
        <w:rPr>
          <w:rFonts w:asciiTheme="majorHAnsi" w:hAnsiTheme="majorHAnsi"/>
        </w:rPr>
        <w:t xml:space="preserve">particularly appealing to </w:t>
      </w:r>
      <w:r>
        <w:rPr>
          <w:rFonts w:asciiTheme="majorHAnsi" w:hAnsiTheme="majorHAnsi"/>
        </w:rPr>
        <w:t>people</w:t>
      </w:r>
      <w:r w:rsidR="001D26C9" w:rsidRPr="002222D9">
        <w:rPr>
          <w:rFonts w:asciiTheme="majorHAnsi" w:hAnsiTheme="majorHAnsi"/>
        </w:rPr>
        <w:t xml:space="preserve"> from low income households.</w:t>
      </w:r>
      <w:r w:rsidR="004E4279" w:rsidRPr="002222D9">
        <w:rPr>
          <w:rFonts w:asciiTheme="majorHAnsi" w:hAnsiTheme="majorHAnsi"/>
        </w:rPr>
        <w:t xml:space="preserve"> </w:t>
      </w:r>
      <w:r w:rsidR="004C21D1">
        <w:rPr>
          <w:rFonts w:asciiTheme="majorHAnsi" w:hAnsiTheme="majorHAnsi"/>
        </w:rPr>
        <w:t xml:space="preserve"> </w:t>
      </w:r>
      <w:r w:rsidR="00CB6E2C">
        <w:rPr>
          <w:rFonts w:asciiTheme="majorHAnsi" w:hAnsiTheme="majorHAnsi"/>
        </w:rPr>
        <w:t>However, i</w:t>
      </w:r>
      <w:r w:rsidR="004C21D1" w:rsidRPr="00DB6DF9">
        <w:rPr>
          <w:rFonts w:asciiTheme="majorHAnsi" w:hAnsiTheme="majorHAnsi"/>
        </w:rPr>
        <w:t>t costs approximately $334 per day to hol</w:t>
      </w:r>
      <w:r w:rsidR="00557A25">
        <w:rPr>
          <w:rFonts w:asciiTheme="majorHAnsi" w:hAnsiTheme="majorHAnsi"/>
        </w:rPr>
        <w:t>d an adult in a prison facility</w:t>
      </w:r>
      <w:r w:rsidR="00A76963">
        <w:rPr>
          <w:rFonts w:asciiTheme="majorHAnsi" w:hAnsiTheme="majorHAnsi"/>
        </w:rPr>
        <w:t>, and this figure is simply</w:t>
      </w:r>
      <w:r w:rsidR="00557A25">
        <w:rPr>
          <w:rFonts w:asciiTheme="majorHAnsi" w:hAnsiTheme="majorHAnsi"/>
        </w:rPr>
        <w:t xml:space="preserve"> an average cost per day.</w:t>
      </w:r>
      <w:r w:rsidR="004C21D1" w:rsidRPr="00DB6DF9">
        <w:rPr>
          <w:rStyle w:val="FootnoteReference"/>
          <w:rFonts w:asciiTheme="majorHAnsi" w:hAnsiTheme="majorHAnsi"/>
        </w:rPr>
        <w:footnoteReference w:id="4"/>
      </w:r>
      <w:r w:rsidR="00557A25">
        <w:rPr>
          <w:rFonts w:asciiTheme="majorHAnsi" w:hAnsiTheme="majorHAnsi"/>
        </w:rPr>
        <w:t xml:space="preserve">  There </w:t>
      </w:r>
      <w:r w:rsidR="008B21E8">
        <w:rPr>
          <w:rFonts w:asciiTheme="majorHAnsi" w:hAnsiTheme="majorHAnsi"/>
        </w:rPr>
        <w:t xml:space="preserve">are undoubtedly </w:t>
      </w:r>
      <w:r w:rsidR="00557A25">
        <w:rPr>
          <w:rFonts w:asciiTheme="majorHAnsi" w:hAnsiTheme="majorHAnsi"/>
        </w:rPr>
        <w:t>cost</w:t>
      </w:r>
      <w:r w:rsidR="008B21E8">
        <w:rPr>
          <w:rFonts w:asciiTheme="majorHAnsi" w:hAnsiTheme="majorHAnsi"/>
        </w:rPr>
        <w:t>s</w:t>
      </w:r>
      <w:r w:rsidR="00557A25">
        <w:rPr>
          <w:rFonts w:asciiTheme="majorHAnsi" w:hAnsiTheme="majorHAnsi"/>
        </w:rPr>
        <w:t xml:space="preserve"> involved in </w:t>
      </w:r>
      <w:r w:rsidR="008B21E8">
        <w:rPr>
          <w:rFonts w:asciiTheme="majorHAnsi" w:hAnsiTheme="majorHAnsi"/>
        </w:rPr>
        <w:t>processing</w:t>
      </w:r>
      <w:r w:rsidR="00557A25">
        <w:rPr>
          <w:rFonts w:asciiTheme="majorHAnsi" w:hAnsiTheme="majorHAnsi"/>
        </w:rPr>
        <w:t xml:space="preserve"> a person enter</w:t>
      </w:r>
      <w:r w:rsidR="008B21E8">
        <w:rPr>
          <w:rFonts w:asciiTheme="majorHAnsi" w:hAnsiTheme="majorHAnsi"/>
        </w:rPr>
        <w:t>ing</w:t>
      </w:r>
      <w:r w:rsidR="00557A25">
        <w:rPr>
          <w:rFonts w:asciiTheme="majorHAnsi" w:hAnsiTheme="majorHAnsi"/>
        </w:rPr>
        <w:t xml:space="preserve"> prison, </w:t>
      </w:r>
      <w:r w:rsidR="008B21E8">
        <w:rPr>
          <w:rFonts w:asciiTheme="majorHAnsi" w:hAnsiTheme="majorHAnsi"/>
        </w:rPr>
        <w:t xml:space="preserve">therefore the cost associated with holding 10 people for one day is likely to be higher than holding one person for 10 days.  </w:t>
      </w:r>
      <w:r w:rsidR="00A76963">
        <w:rPr>
          <w:rFonts w:asciiTheme="majorHAnsi" w:hAnsiTheme="majorHAnsi"/>
        </w:rPr>
        <w:t>Fine defaulters are held for short periods.</w:t>
      </w:r>
    </w:p>
    <w:p w:rsidR="00CB6E2C" w:rsidRDefault="00F50638" w:rsidP="00DB6DF9">
      <w:pPr>
        <w:rPr>
          <w:rFonts w:asciiTheme="majorHAnsi" w:hAnsiTheme="majorHAnsi"/>
        </w:rPr>
      </w:pPr>
      <w:r w:rsidRPr="002222D9">
        <w:rPr>
          <w:rFonts w:asciiTheme="majorHAnsi" w:hAnsiTheme="majorHAnsi"/>
        </w:rPr>
        <w:t>The</w:t>
      </w:r>
      <w:r w:rsidR="004E4279" w:rsidRPr="002222D9">
        <w:rPr>
          <w:rFonts w:asciiTheme="majorHAnsi" w:hAnsiTheme="majorHAnsi"/>
        </w:rPr>
        <w:t xml:space="preserve"> total</w:t>
      </w:r>
      <w:r w:rsidR="00872F5D">
        <w:rPr>
          <w:rFonts w:asciiTheme="majorHAnsi" w:hAnsiTheme="majorHAnsi"/>
        </w:rPr>
        <w:t xml:space="preserve"> number of </w:t>
      </w:r>
      <w:r w:rsidR="004E4279" w:rsidRPr="002222D9">
        <w:rPr>
          <w:rFonts w:asciiTheme="majorHAnsi" w:hAnsiTheme="majorHAnsi"/>
        </w:rPr>
        <w:t xml:space="preserve">days </w:t>
      </w:r>
      <w:r w:rsidR="00872F5D">
        <w:rPr>
          <w:rFonts w:asciiTheme="majorHAnsi" w:hAnsiTheme="majorHAnsi"/>
        </w:rPr>
        <w:t xml:space="preserve">people spent in prison to pay </w:t>
      </w:r>
      <w:r w:rsidR="004E4279" w:rsidRPr="002222D9">
        <w:rPr>
          <w:rFonts w:asciiTheme="majorHAnsi" w:hAnsiTheme="majorHAnsi"/>
        </w:rPr>
        <w:t>fine</w:t>
      </w:r>
      <w:r w:rsidR="004C21D1">
        <w:rPr>
          <w:rFonts w:asciiTheme="majorHAnsi" w:hAnsiTheme="majorHAnsi"/>
        </w:rPr>
        <w:t>s</w:t>
      </w:r>
      <w:r w:rsidR="004E4279" w:rsidRPr="002222D9">
        <w:rPr>
          <w:rFonts w:asciiTheme="majorHAnsi" w:hAnsiTheme="majorHAnsi"/>
        </w:rPr>
        <w:t xml:space="preserve"> </w:t>
      </w:r>
      <w:r w:rsidR="00CB6E2C">
        <w:rPr>
          <w:rFonts w:asciiTheme="majorHAnsi" w:hAnsiTheme="majorHAnsi"/>
        </w:rPr>
        <w:t>has more than doubled</w:t>
      </w:r>
      <w:r w:rsidR="004E4279" w:rsidRPr="002222D9">
        <w:rPr>
          <w:rFonts w:asciiTheme="majorHAnsi" w:hAnsiTheme="majorHAnsi"/>
        </w:rPr>
        <w:t xml:space="preserve"> from 2,751</w:t>
      </w:r>
      <w:r w:rsidR="004C21D1">
        <w:rPr>
          <w:rFonts w:asciiTheme="majorHAnsi" w:hAnsiTheme="majorHAnsi"/>
        </w:rPr>
        <w:t xml:space="preserve"> days</w:t>
      </w:r>
      <w:r w:rsidR="004E4279" w:rsidRPr="002222D9">
        <w:rPr>
          <w:rFonts w:asciiTheme="majorHAnsi" w:hAnsiTheme="majorHAnsi"/>
        </w:rPr>
        <w:t xml:space="preserve"> </w:t>
      </w:r>
      <w:r w:rsidR="00872F5D">
        <w:rPr>
          <w:rFonts w:asciiTheme="majorHAnsi" w:hAnsiTheme="majorHAnsi"/>
        </w:rPr>
        <w:t xml:space="preserve">in 2008 </w:t>
      </w:r>
      <w:r w:rsidR="004E4279" w:rsidRPr="002222D9">
        <w:rPr>
          <w:rFonts w:asciiTheme="majorHAnsi" w:hAnsiTheme="majorHAnsi"/>
        </w:rPr>
        <w:t>to 7,193</w:t>
      </w:r>
      <w:r w:rsidR="00872F5D">
        <w:rPr>
          <w:rFonts w:asciiTheme="majorHAnsi" w:hAnsiTheme="majorHAnsi"/>
        </w:rPr>
        <w:t xml:space="preserve"> </w:t>
      </w:r>
      <w:r w:rsidR="00AD5956">
        <w:rPr>
          <w:rFonts w:asciiTheme="majorHAnsi" w:hAnsiTheme="majorHAnsi"/>
        </w:rPr>
        <w:t xml:space="preserve">days </w:t>
      </w:r>
      <w:r w:rsidR="00872F5D">
        <w:rPr>
          <w:rFonts w:asciiTheme="majorHAnsi" w:hAnsiTheme="majorHAnsi"/>
        </w:rPr>
        <w:t>in 2013</w:t>
      </w:r>
      <w:r w:rsidR="00CB6E2C">
        <w:rPr>
          <w:rFonts w:asciiTheme="majorHAnsi" w:hAnsiTheme="majorHAnsi"/>
        </w:rPr>
        <w:t>.  The rising costs of holding a person in custody combined with the increasing number of days people spen</w:t>
      </w:r>
      <w:r w:rsidR="00A76963">
        <w:rPr>
          <w:rFonts w:asciiTheme="majorHAnsi" w:hAnsiTheme="majorHAnsi"/>
        </w:rPr>
        <w:t xml:space="preserve">d </w:t>
      </w:r>
      <w:r w:rsidR="00CB6E2C">
        <w:rPr>
          <w:rFonts w:asciiTheme="majorHAnsi" w:hAnsiTheme="majorHAnsi"/>
        </w:rPr>
        <w:t xml:space="preserve">in prison </w:t>
      </w:r>
      <w:r w:rsidR="00A76963">
        <w:rPr>
          <w:rFonts w:asciiTheme="majorHAnsi" w:hAnsiTheme="majorHAnsi"/>
        </w:rPr>
        <w:t xml:space="preserve">for fine defaults </w:t>
      </w:r>
      <w:r w:rsidR="00CB6E2C">
        <w:rPr>
          <w:rFonts w:asciiTheme="majorHAnsi" w:hAnsiTheme="majorHAnsi"/>
        </w:rPr>
        <w:t xml:space="preserve">suggests that </w:t>
      </w:r>
      <w:r w:rsidR="00A76963">
        <w:rPr>
          <w:rFonts w:asciiTheme="majorHAnsi" w:hAnsiTheme="majorHAnsi"/>
        </w:rPr>
        <w:t>this system</w:t>
      </w:r>
      <w:r w:rsidR="00CB6E2C">
        <w:rPr>
          <w:rFonts w:asciiTheme="majorHAnsi" w:hAnsiTheme="majorHAnsi"/>
        </w:rPr>
        <w:t xml:space="preserve"> is not cost-</w:t>
      </w:r>
      <w:r w:rsidR="00E35547">
        <w:rPr>
          <w:rFonts w:asciiTheme="majorHAnsi" w:hAnsiTheme="majorHAnsi"/>
        </w:rPr>
        <w:t>effective</w:t>
      </w:r>
      <w:r w:rsidR="00CB6E2C">
        <w:rPr>
          <w:rFonts w:asciiTheme="majorHAnsi" w:hAnsiTheme="majorHAnsi"/>
        </w:rPr>
        <w:t xml:space="preserve">.  </w:t>
      </w:r>
    </w:p>
    <w:p w:rsidR="00CE3048" w:rsidRPr="00F31CD4" w:rsidRDefault="00CE3048" w:rsidP="00CE3048">
      <w:pPr>
        <w:keepNext/>
        <w:keepLines/>
        <w:pBdr>
          <w:bottom w:val="single" w:sz="4" w:space="1" w:color="1F497D" w:themeColor="text2"/>
        </w:pBdr>
        <w:spacing w:before="480" w:after="60"/>
        <w:ind w:left="360" w:hanging="360"/>
        <w:outlineLvl w:val="0"/>
        <w:rPr>
          <w:rFonts w:asciiTheme="majorHAnsi" w:eastAsiaTheme="majorEastAsia" w:hAnsiTheme="majorHAnsi" w:cstheme="majorBidi"/>
          <w:b/>
          <w:bCs/>
          <w:color w:val="365F91" w:themeColor="accent1" w:themeShade="BF"/>
          <w:sz w:val="28"/>
          <w:szCs w:val="28"/>
        </w:rPr>
      </w:pPr>
      <w:r w:rsidRPr="00F31CD4">
        <w:rPr>
          <w:rFonts w:asciiTheme="majorHAnsi" w:eastAsiaTheme="majorEastAsia" w:hAnsiTheme="majorHAnsi" w:cstheme="majorBidi"/>
          <w:b/>
          <w:bCs/>
          <w:color w:val="365F91" w:themeColor="accent1" w:themeShade="BF"/>
          <w:sz w:val="28"/>
          <w:szCs w:val="28"/>
        </w:rPr>
        <w:lastRenderedPageBreak/>
        <w:t>Purpose of the review</w:t>
      </w:r>
    </w:p>
    <w:p w:rsidR="008B21E8" w:rsidRDefault="00447332" w:rsidP="00DB6DF9">
      <w:pPr>
        <w:rPr>
          <w:rFonts w:asciiTheme="majorHAnsi" w:hAnsiTheme="majorHAnsi"/>
        </w:rPr>
      </w:pPr>
      <w:r w:rsidRPr="002222D9">
        <w:rPr>
          <w:rFonts w:asciiTheme="majorHAnsi" w:hAnsiTheme="majorHAnsi"/>
        </w:rPr>
        <w:t xml:space="preserve">This review will </w:t>
      </w:r>
      <w:r w:rsidR="007F6A09">
        <w:rPr>
          <w:rFonts w:asciiTheme="majorHAnsi" w:hAnsiTheme="majorHAnsi"/>
        </w:rPr>
        <w:t>examine the tren</w:t>
      </w:r>
      <w:r w:rsidR="0041467C">
        <w:rPr>
          <w:rFonts w:asciiTheme="majorHAnsi" w:hAnsiTheme="majorHAnsi"/>
        </w:rPr>
        <w:t xml:space="preserve">ds in the number of fine defaulters over the last decade, with particular emphasis on who is being held, where they are being held and how recent changes to policy and legislation have affected the custodial estate.  </w:t>
      </w:r>
    </w:p>
    <w:p w:rsidR="00CE3048" w:rsidRPr="00F31CD4" w:rsidRDefault="00CE3048" w:rsidP="00E331B2">
      <w:pPr>
        <w:keepNext/>
        <w:keepLines/>
        <w:pBdr>
          <w:bottom w:val="single" w:sz="4" w:space="1" w:color="1F497D" w:themeColor="text2"/>
        </w:pBdr>
        <w:spacing w:before="480" w:after="60"/>
        <w:outlineLvl w:val="0"/>
        <w:rPr>
          <w:rFonts w:asciiTheme="majorHAnsi" w:eastAsiaTheme="majorEastAsia" w:hAnsiTheme="majorHAnsi" w:cstheme="majorBidi"/>
          <w:b/>
          <w:bCs/>
          <w:color w:val="365F91" w:themeColor="accent1" w:themeShade="BF"/>
          <w:sz w:val="28"/>
          <w:szCs w:val="28"/>
        </w:rPr>
      </w:pPr>
      <w:r w:rsidRPr="00F31CD4">
        <w:rPr>
          <w:rFonts w:asciiTheme="majorHAnsi" w:eastAsiaTheme="majorEastAsia" w:hAnsiTheme="majorHAnsi" w:cstheme="majorBidi"/>
          <w:b/>
          <w:bCs/>
          <w:color w:val="365F91" w:themeColor="accent1" w:themeShade="BF"/>
          <w:sz w:val="28"/>
          <w:szCs w:val="28"/>
        </w:rPr>
        <w:t>Terms of Reference</w:t>
      </w:r>
    </w:p>
    <w:p w:rsidR="00637918" w:rsidRDefault="00637918" w:rsidP="00F31CD4">
      <w:pPr>
        <w:pStyle w:val="PlainText"/>
        <w:numPr>
          <w:ilvl w:val="0"/>
          <w:numId w:val="1"/>
        </w:numPr>
        <w:spacing w:line="360" w:lineRule="auto"/>
        <w:rPr>
          <w:rFonts w:asciiTheme="majorHAnsi" w:hAnsiTheme="majorHAnsi"/>
        </w:rPr>
      </w:pPr>
      <w:r>
        <w:rPr>
          <w:rFonts w:asciiTheme="majorHAnsi" w:hAnsiTheme="majorHAnsi"/>
        </w:rPr>
        <w:t>Are particular correctional facilities</w:t>
      </w:r>
      <w:r w:rsidR="002B62AA">
        <w:rPr>
          <w:rFonts w:asciiTheme="majorHAnsi" w:hAnsiTheme="majorHAnsi"/>
        </w:rPr>
        <w:t xml:space="preserve"> impacted disproportionately by fine defaulters?</w:t>
      </w:r>
    </w:p>
    <w:p w:rsidR="00280C58" w:rsidRPr="00BA1630" w:rsidRDefault="00280C58" w:rsidP="00BA1630">
      <w:pPr>
        <w:pStyle w:val="PlainText"/>
        <w:numPr>
          <w:ilvl w:val="0"/>
          <w:numId w:val="1"/>
        </w:numPr>
        <w:spacing w:line="360" w:lineRule="auto"/>
        <w:rPr>
          <w:rFonts w:asciiTheme="majorHAnsi" w:hAnsiTheme="majorHAnsi"/>
        </w:rPr>
      </w:pPr>
      <w:r>
        <w:rPr>
          <w:rFonts w:asciiTheme="majorHAnsi" w:hAnsiTheme="majorHAnsi"/>
        </w:rPr>
        <w:t>Is the use of custodial sentences to pay fines cost effective to the state?</w:t>
      </w:r>
    </w:p>
    <w:p w:rsidR="004D168E" w:rsidRPr="00F31CD4" w:rsidRDefault="004D168E" w:rsidP="00F31CD4">
      <w:pPr>
        <w:pStyle w:val="PlainText"/>
        <w:numPr>
          <w:ilvl w:val="0"/>
          <w:numId w:val="1"/>
        </w:numPr>
        <w:spacing w:line="360" w:lineRule="auto"/>
        <w:rPr>
          <w:rFonts w:asciiTheme="majorHAnsi" w:hAnsiTheme="majorHAnsi"/>
        </w:rPr>
      </w:pPr>
      <w:r w:rsidRPr="00F31CD4">
        <w:rPr>
          <w:rFonts w:asciiTheme="majorHAnsi" w:hAnsiTheme="majorHAnsi"/>
        </w:rPr>
        <w:t>Is there evidence that people are using prison as a "soft option"</w:t>
      </w:r>
      <w:r w:rsidR="00F605E3">
        <w:rPr>
          <w:rFonts w:asciiTheme="majorHAnsi" w:hAnsiTheme="majorHAnsi"/>
        </w:rPr>
        <w:t xml:space="preserve"> for avoiding paying fines</w:t>
      </w:r>
      <w:r w:rsidRPr="00F31CD4">
        <w:rPr>
          <w:rFonts w:asciiTheme="majorHAnsi" w:hAnsiTheme="majorHAnsi"/>
        </w:rPr>
        <w:t>?</w:t>
      </w:r>
    </w:p>
    <w:p w:rsidR="007E5D51" w:rsidRPr="00F31CD4" w:rsidRDefault="00CE3048" w:rsidP="00146969">
      <w:pPr>
        <w:keepNext/>
        <w:keepLines/>
        <w:pBdr>
          <w:bottom w:val="single" w:sz="4" w:space="1" w:color="1F497D" w:themeColor="text2"/>
        </w:pBdr>
        <w:tabs>
          <w:tab w:val="center" w:pos="4513"/>
        </w:tabs>
        <w:spacing w:before="480" w:after="60"/>
        <w:outlineLvl w:val="0"/>
        <w:rPr>
          <w:rFonts w:asciiTheme="majorHAnsi" w:hAnsiTheme="majorHAnsi"/>
        </w:rPr>
      </w:pPr>
      <w:r w:rsidRPr="00F31CD4">
        <w:rPr>
          <w:rFonts w:asciiTheme="majorHAnsi" w:eastAsiaTheme="majorEastAsia" w:hAnsiTheme="majorHAnsi" w:cstheme="majorBidi"/>
          <w:b/>
          <w:bCs/>
          <w:color w:val="365F91" w:themeColor="accent1" w:themeShade="BF"/>
          <w:sz w:val="28"/>
          <w:szCs w:val="28"/>
        </w:rPr>
        <w:t>Methodology</w:t>
      </w:r>
      <w:r w:rsidRPr="00F31CD4">
        <w:rPr>
          <w:rFonts w:asciiTheme="majorHAnsi" w:eastAsiaTheme="majorEastAsia" w:hAnsiTheme="majorHAnsi" w:cstheme="majorBidi"/>
          <w:b/>
          <w:bCs/>
          <w:color w:val="365F91" w:themeColor="accent1" w:themeShade="BF"/>
          <w:sz w:val="28"/>
          <w:szCs w:val="28"/>
        </w:rPr>
        <w:tab/>
      </w:r>
    </w:p>
    <w:p w:rsidR="00A908E4" w:rsidRDefault="007E5D51" w:rsidP="00A908E4">
      <w:pPr>
        <w:pStyle w:val="ListParagraph"/>
        <w:numPr>
          <w:ilvl w:val="0"/>
          <w:numId w:val="7"/>
        </w:numPr>
        <w:spacing w:line="360" w:lineRule="auto"/>
        <w:rPr>
          <w:rFonts w:asciiTheme="majorHAnsi" w:hAnsiTheme="majorHAnsi"/>
        </w:rPr>
      </w:pPr>
      <w:r w:rsidRPr="00A908E4">
        <w:rPr>
          <w:rFonts w:asciiTheme="majorHAnsi" w:hAnsiTheme="majorHAnsi"/>
        </w:rPr>
        <w:t>Review Departmental data concerning fine defaulters</w:t>
      </w:r>
      <w:r w:rsidR="00A908E4">
        <w:rPr>
          <w:rFonts w:asciiTheme="majorHAnsi" w:hAnsiTheme="majorHAnsi"/>
        </w:rPr>
        <w:t>, focusing on</w:t>
      </w:r>
    </w:p>
    <w:p w:rsidR="00A908E4" w:rsidRDefault="00A908E4" w:rsidP="00DB6DF9">
      <w:pPr>
        <w:pStyle w:val="ListParagraph"/>
        <w:numPr>
          <w:ilvl w:val="1"/>
          <w:numId w:val="7"/>
        </w:numPr>
        <w:spacing w:line="360" w:lineRule="auto"/>
        <w:rPr>
          <w:rFonts w:asciiTheme="majorHAnsi" w:hAnsiTheme="majorHAnsi"/>
        </w:rPr>
      </w:pPr>
      <w:r>
        <w:rPr>
          <w:rFonts w:asciiTheme="majorHAnsi" w:hAnsiTheme="majorHAnsi"/>
        </w:rPr>
        <w:t>Which facility fine defaulters serve their sentence</w:t>
      </w:r>
    </w:p>
    <w:p w:rsidR="00A908E4" w:rsidRDefault="00A908E4" w:rsidP="00DB6DF9">
      <w:pPr>
        <w:pStyle w:val="ListParagraph"/>
        <w:numPr>
          <w:ilvl w:val="1"/>
          <w:numId w:val="7"/>
        </w:numPr>
        <w:spacing w:line="360" w:lineRule="auto"/>
        <w:rPr>
          <w:rFonts w:asciiTheme="majorHAnsi" w:hAnsiTheme="majorHAnsi"/>
        </w:rPr>
      </w:pPr>
      <w:r>
        <w:rPr>
          <w:rFonts w:asciiTheme="majorHAnsi" w:hAnsiTheme="majorHAnsi"/>
        </w:rPr>
        <w:t>The amount of the fine</w:t>
      </w:r>
    </w:p>
    <w:p w:rsidR="00A908E4" w:rsidRDefault="00AC6769" w:rsidP="00DB6DF9">
      <w:pPr>
        <w:pStyle w:val="ListParagraph"/>
        <w:numPr>
          <w:ilvl w:val="1"/>
          <w:numId w:val="7"/>
        </w:numPr>
        <w:spacing w:line="360" w:lineRule="auto"/>
        <w:rPr>
          <w:rFonts w:asciiTheme="majorHAnsi" w:hAnsiTheme="majorHAnsi"/>
        </w:rPr>
      </w:pPr>
      <w:r>
        <w:rPr>
          <w:rFonts w:asciiTheme="majorHAnsi" w:hAnsiTheme="majorHAnsi"/>
        </w:rPr>
        <w:t>Demographic groups</w:t>
      </w:r>
    </w:p>
    <w:p w:rsidR="00AC6769" w:rsidRDefault="00AC6769" w:rsidP="00A908E4">
      <w:pPr>
        <w:pStyle w:val="ListParagraph"/>
        <w:numPr>
          <w:ilvl w:val="0"/>
          <w:numId w:val="7"/>
        </w:numPr>
        <w:spacing w:line="360" w:lineRule="auto"/>
        <w:rPr>
          <w:rFonts w:asciiTheme="majorHAnsi" w:hAnsiTheme="majorHAnsi"/>
        </w:rPr>
      </w:pPr>
      <w:r>
        <w:rPr>
          <w:rFonts w:asciiTheme="majorHAnsi" w:hAnsiTheme="majorHAnsi"/>
        </w:rPr>
        <w:t>Potentially i</w:t>
      </w:r>
      <w:r w:rsidR="001768A4" w:rsidRPr="00A908E4">
        <w:rPr>
          <w:rFonts w:asciiTheme="majorHAnsi" w:hAnsiTheme="majorHAnsi"/>
        </w:rPr>
        <w:t>nterview</w:t>
      </w:r>
      <w:r w:rsidR="006D32D1" w:rsidRPr="00A908E4">
        <w:rPr>
          <w:rFonts w:asciiTheme="majorHAnsi" w:hAnsiTheme="majorHAnsi"/>
        </w:rPr>
        <w:t xml:space="preserve"> relevant staff on how fine defaulters are processed into a custodial facility</w:t>
      </w:r>
      <w:r>
        <w:rPr>
          <w:rFonts w:asciiTheme="majorHAnsi" w:hAnsiTheme="majorHAnsi"/>
        </w:rPr>
        <w:t>, and the costs associated with processing a new person in a custodial facility</w:t>
      </w:r>
      <w:r w:rsidR="008C1A51">
        <w:rPr>
          <w:rFonts w:asciiTheme="majorHAnsi" w:hAnsiTheme="majorHAnsi"/>
        </w:rPr>
        <w:t>.</w:t>
      </w:r>
    </w:p>
    <w:p w:rsidR="007E5D51" w:rsidRPr="00A908E4" w:rsidRDefault="00AC6769" w:rsidP="00A908E4">
      <w:pPr>
        <w:pStyle w:val="ListParagraph"/>
        <w:numPr>
          <w:ilvl w:val="0"/>
          <w:numId w:val="7"/>
        </w:numPr>
        <w:spacing w:line="360" w:lineRule="auto"/>
        <w:rPr>
          <w:rFonts w:asciiTheme="majorHAnsi" w:hAnsiTheme="majorHAnsi"/>
        </w:rPr>
      </w:pPr>
      <w:r>
        <w:rPr>
          <w:rFonts w:asciiTheme="majorHAnsi" w:hAnsiTheme="majorHAnsi"/>
        </w:rPr>
        <w:t>Review any Departmental reports on fine defaulters and the impact they have on the custodial system.</w:t>
      </w:r>
    </w:p>
    <w:p w:rsidR="00AC6769" w:rsidRDefault="006D32D1">
      <w:pPr>
        <w:pStyle w:val="ListParagraph"/>
        <w:numPr>
          <w:ilvl w:val="0"/>
          <w:numId w:val="7"/>
        </w:numPr>
        <w:spacing w:line="360" w:lineRule="auto"/>
        <w:rPr>
          <w:rFonts w:asciiTheme="majorHAnsi" w:hAnsiTheme="majorHAnsi"/>
        </w:rPr>
      </w:pPr>
      <w:r w:rsidRPr="00E94F7D">
        <w:rPr>
          <w:rFonts w:asciiTheme="majorHAnsi" w:hAnsiTheme="majorHAnsi"/>
        </w:rPr>
        <w:t xml:space="preserve">Compare </w:t>
      </w:r>
      <w:r w:rsidR="00A908E4" w:rsidRPr="00AC6769">
        <w:rPr>
          <w:rFonts w:asciiTheme="majorHAnsi" w:hAnsiTheme="majorHAnsi"/>
        </w:rPr>
        <w:t>the</w:t>
      </w:r>
      <w:r w:rsidRPr="00AC6769">
        <w:rPr>
          <w:rFonts w:asciiTheme="majorHAnsi" w:hAnsiTheme="majorHAnsi"/>
        </w:rPr>
        <w:t xml:space="preserve"> system of fine</w:t>
      </w:r>
      <w:r w:rsidR="00A908E4" w:rsidRPr="00AC6769">
        <w:rPr>
          <w:rFonts w:asciiTheme="majorHAnsi" w:hAnsiTheme="majorHAnsi"/>
        </w:rPr>
        <w:t>s</w:t>
      </w:r>
      <w:r w:rsidRPr="00AC6769">
        <w:rPr>
          <w:rFonts w:asciiTheme="majorHAnsi" w:hAnsiTheme="majorHAnsi"/>
        </w:rPr>
        <w:t xml:space="preserve"> and management of defaults </w:t>
      </w:r>
      <w:r w:rsidR="00A908E4" w:rsidRPr="00AC6769">
        <w:rPr>
          <w:rFonts w:asciiTheme="majorHAnsi" w:hAnsiTheme="majorHAnsi"/>
        </w:rPr>
        <w:t xml:space="preserve">to other </w:t>
      </w:r>
      <w:r w:rsidR="007E5D51" w:rsidRPr="00AC6769">
        <w:rPr>
          <w:rFonts w:asciiTheme="majorHAnsi" w:hAnsiTheme="majorHAnsi"/>
        </w:rPr>
        <w:t>States</w:t>
      </w:r>
      <w:r w:rsidR="008C1A51">
        <w:rPr>
          <w:rFonts w:asciiTheme="majorHAnsi" w:hAnsiTheme="majorHAnsi"/>
        </w:rPr>
        <w:t>.</w:t>
      </w:r>
    </w:p>
    <w:p w:rsidR="001768A4" w:rsidRPr="001768A4" w:rsidRDefault="001768A4" w:rsidP="001768A4">
      <w:pPr>
        <w:spacing w:line="360" w:lineRule="auto"/>
        <w:ind w:left="360"/>
        <w:rPr>
          <w:rFonts w:asciiTheme="majorHAnsi" w:hAnsiTheme="majorHAnsi"/>
        </w:rPr>
      </w:pPr>
    </w:p>
    <w:p w:rsidR="00F072C9" w:rsidRPr="00F31CD4" w:rsidRDefault="00F072C9">
      <w:pPr>
        <w:rPr>
          <w:rFonts w:asciiTheme="majorHAnsi" w:hAnsiTheme="majorHAnsi"/>
        </w:rPr>
      </w:pPr>
    </w:p>
    <w:sectPr w:rsidR="00F072C9" w:rsidRPr="00F31CD4" w:rsidSect="000C2A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7A" w:rsidRDefault="0013147A" w:rsidP="00C77CCA">
      <w:pPr>
        <w:spacing w:after="0" w:line="240" w:lineRule="auto"/>
      </w:pPr>
      <w:r>
        <w:separator/>
      </w:r>
    </w:p>
  </w:endnote>
  <w:endnote w:type="continuationSeparator" w:id="0">
    <w:p w:rsidR="0013147A" w:rsidRDefault="0013147A" w:rsidP="00C7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7A" w:rsidRDefault="0013147A" w:rsidP="00C77CCA">
      <w:pPr>
        <w:spacing w:after="0" w:line="240" w:lineRule="auto"/>
      </w:pPr>
      <w:r>
        <w:separator/>
      </w:r>
    </w:p>
  </w:footnote>
  <w:footnote w:type="continuationSeparator" w:id="0">
    <w:p w:rsidR="0013147A" w:rsidRDefault="0013147A" w:rsidP="00C77CCA">
      <w:pPr>
        <w:spacing w:after="0" w:line="240" w:lineRule="auto"/>
      </w:pPr>
      <w:r>
        <w:continuationSeparator/>
      </w:r>
    </w:p>
  </w:footnote>
  <w:footnote w:id="1">
    <w:p w:rsidR="0041467C" w:rsidRDefault="0041467C">
      <w:pPr>
        <w:pStyle w:val="FootnoteText"/>
      </w:pPr>
      <w:r>
        <w:rPr>
          <w:rStyle w:val="FootnoteReference"/>
        </w:rPr>
        <w:footnoteRef/>
      </w:r>
      <w:r>
        <w:t xml:space="preserve"> </w:t>
      </w:r>
      <w:r w:rsidRPr="00744BBA">
        <w:rPr>
          <w:sz w:val="18"/>
          <w:szCs w:val="18"/>
        </w:rPr>
        <w:t>Department of the Attorney General website: http://www.courts.dotag.wa.gov.au/C/consequences_of_not_paying.aspx</w:t>
      </w:r>
    </w:p>
  </w:footnote>
  <w:footnote w:id="2">
    <w:p w:rsidR="0041467C" w:rsidRPr="00DB6DF9" w:rsidRDefault="0041467C">
      <w:pPr>
        <w:pStyle w:val="FootnoteText"/>
        <w:rPr>
          <w:sz w:val="18"/>
          <w:szCs w:val="18"/>
        </w:rPr>
      </w:pPr>
      <w:r>
        <w:rPr>
          <w:rStyle w:val="FootnoteReference"/>
        </w:rPr>
        <w:footnoteRef/>
      </w:r>
      <w:r>
        <w:t xml:space="preserve"> </w:t>
      </w:r>
      <w:r w:rsidRPr="00DB6DF9">
        <w:rPr>
          <w:sz w:val="18"/>
          <w:szCs w:val="18"/>
        </w:rPr>
        <w:t>From 2009/2010 financial year to 2013/2014</w:t>
      </w:r>
    </w:p>
  </w:footnote>
  <w:footnote w:id="3">
    <w:p w:rsidR="0041467C" w:rsidRDefault="0041467C" w:rsidP="00C23139">
      <w:pPr>
        <w:pStyle w:val="FootnoteText"/>
        <w:rPr>
          <w:sz w:val="18"/>
          <w:szCs w:val="18"/>
        </w:rPr>
      </w:pPr>
      <w:r w:rsidRPr="00DB6DF9">
        <w:footnoteRef/>
      </w:r>
      <w:r>
        <w:rPr>
          <w:sz w:val="18"/>
          <w:szCs w:val="18"/>
        </w:rPr>
        <w:t xml:space="preserve"> Legislative Assembly Tabled Papers, </w:t>
      </w:r>
      <w:r w:rsidRPr="004C21D1">
        <w:rPr>
          <w:i/>
          <w:sz w:val="18"/>
          <w:szCs w:val="18"/>
        </w:rPr>
        <w:t>Details of Incarceration Figures, for Fine Defaulters for the Years 2008 to 2013</w:t>
      </w:r>
      <w:r>
        <w:rPr>
          <w:sz w:val="18"/>
          <w:szCs w:val="18"/>
        </w:rPr>
        <w:t xml:space="preserve">, Tabled attachment to Question on Notice No. 2746 -  Paper no. 2027 (16 September 2014). </w:t>
      </w:r>
    </w:p>
  </w:footnote>
  <w:footnote w:id="4">
    <w:p w:rsidR="0041467C" w:rsidRPr="00DB6DF9" w:rsidRDefault="0041467C" w:rsidP="004C21D1">
      <w:pPr>
        <w:pStyle w:val="FootnoteText"/>
        <w:rPr>
          <w:sz w:val="18"/>
          <w:szCs w:val="18"/>
        </w:rPr>
      </w:pPr>
      <w:r w:rsidRPr="00DB6DF9">
        <w:rPr>
          <w:sz w:val="18"/>
          <w:szCs w:val="18"/>
        </w:rPr>
        <w:footnoteRef/>
      </w:r>
      <w:r w:rsidRPr="00DB6DF9">
        <w:rPr>
          <w:sz w:val="18"/>
          <w:szCs w:val="18"/>
        </w:rPr>
        <w:t xml:space="preserve"> Department of Corrective Services, </w:t>
      </w:r>
      <w:r w:rsidRPr="00DB6DF9">
        <w:rPr>
          <w:i/>
          <w:sz w:val="18"/>
          <w:szCs w:val="18"/>
        </w:rPr>
        <w:t>Annual report 2013-2014</w:t>
      </w:r>
      <w:r w:rsidRPr="00DB6DF9">
        <w:rPr>
          <w:sz w:val="18"/>
          <w:szCs w:val="18"/>
        </w:rPr>
        <w:t xml:space="preserve"> (September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611"/>
    <w:multiLevelType w:val="hybridMultilevel"/>
    <w:tmpl w:val="C5F28AF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6F2523D"/>
    <w:multiLevelType w:val="hybridMultilevel"/>
    <w:tmpl w:val="663C818E"/>
    <w:lvl w:ilvl="0" w:tplc="3CE0EA48">
      <w:numFmt w:val="bullet"/>
      <w:lvlText w:val="-"/>
      <w:lvlJc w:val="left"/>
      <w:pPr>
        <w:ind w:left="720" w:hanging="360"/>
      </w:pPr>
      <w:rPr>
        <w:rFonts w:ascii="Cambria" w:eastAsiaTheme="minorHAnsi"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17083B"/>
    <w:multiLevelType w:val="hybridMultilevel"/>
    <w:tmpl w:val="463496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D719B8"/>
    <w:multiLevelType w:val="hybridMultilevel"/>
    <w:tmpl w:val="D49299DA"/>
    <w:lvl w:ilvl="0" w:tplc="1674E55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667CDC"/>
    <w:multiLevelType w:val="hybridMultilevel"/>
    <w:tmpl w:val="CDA83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417313B5"/>
    <w:multiLevelType w:val="hybridMultilevel"/>
    <w:tmpl w:val="AB348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4E6652AB"/>
    <w:multiLevelType w:val="hybridMultilevel"/>
    <w:tmpl w:val="702E3080"/>
    <w:lvl w:ilvl="0" w:tplc="9864B70A">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C3653BE"/>
    <w:multiLevelType w:val="hybridMultilevel"/>
    <w:tmpl w:val="3F7A7A1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F45768B"/>
    <w:multiLevelType w:val="hybridMultilevel"/>
    <w:tmpl w:val="F6444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8B505A2"/>
    <w:multiLevelType w:val="hybridMultilevel"/>
    <w:tmpl w:val="7E0C2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8239B2"/>
    <w:multiLevelType w:val="hybridMultilevel"/>
    <w:tmpl w:val="91BEC0E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0"/>
  </w:num>
  <w:num w:numId="2">
    <w:abstractNumId w:val="0"/>
  </w:num>
  <w:num w:numId="3">
    <w:abstractNumId w:val="5"/>
  </w:num>
  <w:num w:numId="4">
    <w:abstractNumId w:val="9"/>
  </w:num>
  <w:num w:numId="5">
    <w:abstractNumId w:val="1"/>
  </w:num>
  <w:num w:numId="6">
    <w:abstractNumId w:val="2"/>
  </w:num>
  <w:num w:numId="7">
    <w:abstractNumId w:val="6"/>
  </w:num>
  <w:num w:numId="8">
    <w:abstractNumId w:val="3"/>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CA"/>
    <w:rsid w:val="00012BF2"/>
    <w:rsid w:val="00033EAF"/>
    <w:rsid w:val="00043437"/>
    <w:rsid w:val="00075E17"/>
    <w:rsid w:val="000B2186"/>
    <w:rsid w:val="000B4F4A"/>
    <w:rsid w:val="000C2A8F"/>
    <w:rsid w:val="000C6BB5"/>
    <w:rsid w:val="000F214B"/>
    <w:rsid w:val="00102177"/>
    <w:rsid w:val="0012495D"/>
    <w:rsid w:val="0013147A"/>
    <w:rsid w:val="00146969"/>
    <w:rsid w:val="00157251"/>
    <w:rsid w:val="0016215E"/>
    <w:rsid w:val="001768A4"/>
    <w:rsid w:val="001A200A"/>
    <w:rsid w:val="001D26C9"/>
    <w:rsid w:val="0020120B"/>
    <w:rsid w:val="002222D9"/>
    <w:rsid w:val="002303FC"/>
    <w:rsid w:val="0023217B"/>
    <w:rsid w:val="002356D3"/>
    <w:rsid w:val="00280C58"/>
    <w:rsid w:val="002A2A6A"/>
    <w:rsid w:val="002A75F2"/>
    <w:rsid w:val="002B62AA"/>
    <w:rsid w:val="002B6BEA"/>
    <w:rsid w:val="003351C0"/>
    <w:rsid w:val="00347808"/>
    <w:rsid w:val="00364BD1"/>
    <w:rsid w:val="00384432"/>
    <w:rsid w:val="0039094B"/>
    <w:rsid w:val="00391257"/>
    <w:rsid w:val="003F1A26"/>
    <w:rsid w:val="003F2495"/>
    <w:rsid w:val="00406014"/>
    <w:rsid w:val="0041467C"/>
    <w:rsid w:val="00440240"/>
    <w:rsid w:val="00444EB9"/>
    <w:rsid w:val="00447332"/>
    <w:rsid w:val="00480FCA"/>
    <w:rsid w:val="0049455C"/>
    <w:rsid w:val="004A3A8B"/>
    <w:rsid w:val="004B0246"/>
    <w:rsid w:val="004B0A76"/>
    <w:rsid w:val="004B2801"/>
    <w:rsid w:val="004C21D1"/>
    <w:rsid w:val="004D168E"/>
    <w:rsid w:val="004E4279"/>
    <w:rsid w:val="004F5330"/>
    <w:rsid w:val="00505095"/>
    <w:rsid w:val="005064A1"/>
    <w:rsid w:val="00507EF2"/>
    <w:rsid w:val="00512EB1"/>
    <w:rsid w:val="00546898"/>
    <w:rsid w:val="00557A25"/>
    <w:rsid w:val="005626F7"/>
    <w:rsid w:val="0057657F"/>
    <w:rsid w:val="005C4A62"/>
    <w:rsid w:val="005D0458"/>
    <w:rsid w:val="006231C9"/>
    <w:rsid w:val="00623CA3"/>
    <w:rsid w:val="00637918"/>
    <w:rsid w:val="00663A3B"/>
    <w:rsid w:val="00684E7C"/>
    <w:rsid w:val="006A6948"/>
    <w:rsid w:val="006B1D0E"/>
    <w:rsid w:val="006B3126"/>
    <w:rsid w:val="006C3A25"/>
    <w:rsid w:val="006D32D1"/>
    <w:rsid w:val="006F528C"/>
    <w:rsid w:val="00714FAA"/>
    <w:rsid w:val="00744BBA"/>
    <w:rsid w:val="007605D5"/>
    <w:rsid w:val="0076591C"/>
    <w:rsid w:val="007866B3"/>
    <w:rsid w:val="007D72CE"/>
    <w:rsid w:val="007E2545"/>
    <w:rsid w:val="007E5D51"/>
    <w:rsid w:val="007F6A09"/>
    <w:rsid w:val="00802C22"/>
    <w:rsid w:val="008060A6"/>
    <w:rsid w:val="00806729"/>
    <w:rsid w:val="00810AFE"/>
    <w:rsid w:val="0083092B"/>
    <w:rsid w:val="00872F5D"/>
    <w:rsid w:val="008766EE"/>
    <w:rsid w:val="00884FA5"/>
    <w:rsid w:val="008A5712"/>
    <w:rsid w:val="008B21E8"/>
    <w:rsid w:val="008C1A51"/>
    <w:rsid w:val="008E62B9"/>
    <w:rsid w:val="00946E0C"/>
    <w:rsid w:val="009A043C"/>
    <w:rsid w:val="009A0A84"/>
    <w:rsid w:val="00A76963"/>
    <w:rsid w:val="00A87578"/>
    <w:rsid w:val="00A908E4"/>
    <w:rsid w:val="00AC2087"/>
    <w:rsid w:val="00AC6769"/>
    <w:rsid w:val="00AD5956"/>
    <w:rsid w:val="00AF1F22"/>
    <w:rsid w:val="00B117DE"/>
    <w:rsid w:val="00B43E51"/>
    <w:rsid w:val="00B50495"/>
    <w:rsid w:val="00B645B3"/>
    <w:rsid w:val="00B8320C"/>
    <w:rsid w:val="00B922BC"/>
    <w:rsid w:val="00BA1630"/>
    <w:rsid w:val="00BC5894"/>
    <w:rsid w:val="00BC5ECB"/>
    <w:rsid w:val="00BE225B"/>
    <w:rsid w:val="00C118C3"/>
    <w:rsid w:val="00C23139"/>
    <w:rsid w:val="00C523F4"/>
    <w:rsid w:val="00C5501E"/>
    <w:rsid w:val="00C6142A"/>
    <w:rsid w:val="00C77CCA"/>
    <w:rsid w:val="00CA4BD0"/>
    <w:rsid w:val="00CB6E2C"/>
    <w:rsid w:val="00CE3048"/>
    <w:rsid w:val="00D21FE9"/>
    <w:rsid w:val="00D53643"/>
    <w:rsid w:val="00D61C45"/>
    <w:rsid w:val="00D92E0D"/>
    <w:rsid w:val="00D93654"/>
    <w:rsid w:val="00DB6DF9"/>
    <w:rsid w:val="00DF297D"/>
    <w:rsid w:val="00E058C5"/>
    <w:rsid w:val="00E120E0"/>
    <w:rsid w:val="00E266EC"/>
    <w:rsid w:val="00E331B2"/>
    <w:rsid w:val="00E35547"/>
    <w:rsid w:val="00E578CD"/>
    <w:rsid w:val="00E656C2"/>
    <w:rsid w:val="00E8477A"/>
    <w:rsid w:val="00E94DCF"/>
    <w:rsid w:val="00E94F7D"/>
    <w:rsid w:val="00EB1B77"/>
    <w:rsid w:val="00EC7E42"/>
    <w:rsid w:val="00ED0193"/>
    <w:rsid w:val="00F000E5"/>
    <w:rsid w:val="00F072C9"/>
    <w:rsid w:val="00F31547"/>
    <w:rsid w:val="00F31CD4"/>
    <w:rsid w:val="00F45AD8"/>
    <w:rsid w:val="00F50638"/>
    <w:rsid w:val="00F605E3"/>
    <w:rsid w:val="00F62026"/>
    <w:rsid w:val="00F62422"/>
    <w:rsid w:val="00F8381E"/>
    <w:rsid w:val="00FA2D16"/>
    <w:rsid w:val="00FC03B4"/>
    <w:rsid w:val="00FD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CA"/>
  </w:style>
  <w:style w:type="paragraph" w:styleId="Heading2">
    <w:name w:val="heading 2"/>
    <w:basedOn w:val="Normal"/>
    <w:next w:val="Normal"/>
    <w:link w:val="Heading2Char"/>
    <w:uiPriority w:val="9"/>
    <w:unhideWhenUsed/>
    <w:qFormat/>
    <w:rsid w:val="00C77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CC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77CCA"/>
    <w:pPr>
      <w:spacing w:after="0" w:line="240" w:lineRule="auto"/>
      <w:ind w:left="720"/>
    </w:pPr>
    <w:rPr>
      <w:rFonts w:ascii="Calibri" w:hAnsi="Calibri" w:cs="Calibri"/>
      <w:lang w:eastAsia="en-AU"/>
    </w:rPr>
  </w:style>
  <w:style w:type="table" w:styleId="TableGrid">
    <w:name w:val="Table Grid"/>
    <w:basedOn w:val="TableNormal"/>
    <w:uiPriority w:val="59"/>
    <w:rsid w:val="00C77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77CCA"/>
    <w:pPr>
      <w:spacing w:after="0" w:line="240" w:lineRule="auto"/>
    </w:pPr>
    <w:rPr>
      <w:sz w:val="20"/>
      <w:szCs w:val="20"/>
    </w:rPr>
  </w:style>
  <w:style w:type="character" w:customStyle="1" w:styleId="FootnoteTextChar">
    <w:name w:val="Footnote Text Char"/>
    <w:basedOn w:val="DefaultParagraphFont"/>
    <w:link w:val="FootnoteText"/>
    <w:uiPriority w:val="99"/>
    <w:rsid w:val="00C77CCA"/>
    <w:rPr>
      <w:sz w:val="20"/>
      <w:szCs w:val="20"/>
    </w:rPr>
  </w:style>
  <w:style w:type="character" w:styleId="FootnoteReference">
    <w:name w:val="footnote reference"/>
    <w:basedOn w:val="DefaultParagraphFont"/>
    <w:uiPriority w:val="99"/>
    <w:semiHidden/>
    <w:unhideWhenUsed/>
    <w:rsid w:val="00C77CCA"/>
    <w:rPr>
      <w:vertAlign w:val="superscript"/>
    </w:rPr>
  </w:style>
  <w:style w:type="paragraph" w:styleId="Header">
    <w:name w:val="header"/>
    <w:basedOn w:val="Normal"/>
    <w:link w:val="HeaderChar"/>
    <w:uiPriority w:val="99"/>
    <w:unhideWhenUsed/>
    <w:rsid w:val="00364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BD1"/>
  </w:style>
  <w:style w:type="paragraph" w:styleId="Footer">
    <w:name w:val="footer"/>
    <w:basedOn w:val="Normal"/>
    <w:link w:val="FooterChar"/>
    <w:uiPriority w:val="99"/>
    <w:unhideWhenUsed/>
    <w:rsid w:val="00364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BD1"/>
  </w:style>
  <w:style w:type="paragraph" w:styleId="BalloonText">
    <w:name w:val="Balloon Text"/>
    <w:basedOn w:val="Normal"/>
    <w:link w:val="BalloonTextChar"/>
    <w:uiPriority w:val="99"/>
    <w:semiHidden/>
    <w:unhideWhenUsed/>
    <w:rsid w:val="00364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D1"/>
    <w:rPr>
      <w:rFonts w:ascii="Tahoma" w:hAnsi="Tahoma" w:cs="Tahoma"/>
      <w:sz w:val="16"/>
      <w:szCs w:val="16"/>
    </w:rPr>
  </w:style>
  <w:style w:type="paragraph" w:styleId="EndnoteText">
    <w:name w:val="endnote text"/>
    <w:basedOn w:val="Normal"/>
    <w:link w:val="EndnoteTextChar"/>
    <w:uiPriority w:val="99"/>
    <w:semiHidden/>
    <w:unhideWhenUsed/>
    <w:rsid w:val="000C2A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2A8F"/>
    <w:rPr>
      <w:sz w:val="20"/>
      <w:szCs w:val="20"/>
    </w:rPr>
  </w:style>
  <w:style w:type="character" w:styleId="EndnoteReference">
    <w:name w:val="endnote reference"/>
    <w:basedOn w:val="DefaultParagraphFont"/>
    <w:uiPriority w:val="99"/>
    <w:semiHidden/>
    <w:unhideWhenUsed/>
    <w:rsid w:val="000C2A8F"/>
    <w:rPr>
      <w:vertAlign w:val="superscript"/>
    </w:rPr>
  </w:style>
  <w:style w:type="paragraph" w:styleId="PlainText">
    <w:name w:val="Plain Text"/>
    <w:basedOn w:val="Normal"/>
    <w:link w:val="PlainTextChar"/>
    <w:uiPriority w:val="99"/>
    <w:semiHidden/>
    <w:unhideWhenUsed/>
    <w:rsid w:val="004D168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168E"/>
    <w:rPr>
      <w:rFonts w:ascii="Calibri" w:hAnsi="Calibri"/>
      <w:szCs w:val="21"/>
    </w:rPr>
  </w:style>
  <w:style w:type="character" w:styleId="CommentReference">
    <w:name w:val="annotation reference"/>
    <w:basedOn w:val="DefaultParagraphFont"/>
    <w:uiPriority w:val="99"/>
    <w:semiHidden/>
    <w:unhideWhenUsed/>
    <w:rsid w:val="004D168E"/>
    <w:rPr>
      <w:sz w:val="16"/>
      <w:szCs w:val="16"/>
    </w:rPr>
  </w:style>
  <w:style w:type="paragraph" w:styleId="CommentText">
    <w:name w:val="annotation text"/>
    <w:basedOn w:val="Normal"/>
    <w:link w:val="CommentTextChar"/>
    <w:uiPriority w:val="99"/>
    <w:semiHidden/>
    <w:unhideWhenUsed/>
    <w:rsid w:val="004D168E"/>
    <w:pPr>
      <w:spacing w:line="240" w:lineRule="auto"/>
    </w:pPr>
    <w:rPr>
      <w:sz w:val="20"/>
      <w:szCs w:val="20"/>
    </w:rPr>
  </w:style>
  <w:style w:type="character" w:customStyle="1" w:styleId="CommentTextChar">
    <w:name w:val="Comment Text Char"/>
    <w:basedOn w:val="DefaultParagraphFont"/>
    <w:link w:val="CommentText"/>
    <w:uiPriority w:val="99"/>
    <w:semiHidden/>
    <w:rsid w:val="004D168E"/>
    <w:rPr>
      <w:sz w:val="20"/>
      <w:szCs w:val="20"/>
    </w:rPr>
  </w:style>
  <w:style w:type="paragraph" w:styleId="CommentSubject">
    <w:name w:val="annotation subject"/>
    <w:basedOn w:val="CommentText"/>
    <w:next w:val="CommentText"/>
    <w:link w:val="CommentSubjectChar"/>
    <w:uiPriority w:val="99"/>
    <w:semiHidden/>
    <w:unhideWhenUsed/>
    <w:rsid w:val="004D168E"/>
    <w:rPr>
      <w:b/>
      <w:bCs/>
    </w:rPr>
  </w:style>
  <w:style w:type="character" w:customStyle="1" w:styleId="CommentSubjectChar">
    <w:name w:val="Comment Subject Char"/>
    <w:basedOn w:val="CommentTextChar"/>
    <w:link w:val="CommentSubject"/>
    <w:uiPriority w:val="99"/>
    <w:semiHidden/>
    <w:rsid w:val="004D16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CA"/>
  </w:style>
  <w:style w:type="paragraph" w:styleId="Heading2">
    <w:name w:val="heading 2"/>
    <w:basedOn w:val="Normal"/>
    <w:next w:val="Normal"/>
    <w:link w:val="Heading2Char"/>
    <w:uiPriority w:val="9"/>
    <w:unhideWhenUsed/>
    <w:qFormat/>
    <w:rsid w:val="00C77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CC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77CCA"/>
    <w:pPr>
      <w:spacing w:after="0" w:line="240" w:lineRule="auto"/>
      <w:ind w:left="720"/>
    </w:pPr>
    <w:rPr>
      <w:rFonts w:ascii="Calibri" w:hAnsi="Calibri" w:cs="Calibri"/>
      <w:lang w:eastAsia="en-AU"/>
    </w:rPr>
  </w:style>
  <w:style w:type="table" w:styleId="TableGrid">
    <w:name w:val="Table Grid"/>
    <w:basedOn w:val="TableNormal"/>
    <w:uiPriority w:val="59"/>
    <w:rsid w:val="00C77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77CCA"/>
    <w:pPr>
      <w:spacing w:after="0" w:line="240" w:lineRule="auto"/>
    </w:pPr>
    <w:rPr>
      <w:sz w:val="20"/>
      <w:szCs w:val="20"/>
    </w:rPr>
  </w:style>
  <w:style w:type="character" w:customStyle="1" w:styleId="FootnoteTextChar">
    <w:name w:val="Footnote Text Char"/>
    <w:basedOn w:val="DefaultParagraphFont"/>
    <w:link w:val="FootnoteText"/>
    <w:uiPriority w:val="99"/>
    <w:rsid w:val="00C77CCA"/>
    <w:rPr>
      <w:sz w:val="20"/>
      <w:szCs w:val="20"/>
    </w:rPr>
  </w:style>
  <w:style w:type="character" w:styleId="FootnoteReference">
    <w:name w:val="footnote reference"/>
    <w:basedOn w:val="DefaultParagraphFont"/>
    <w:uiPriority w:val="99"/>
    <w:semiHidden/>
    <w:unhideWhenUsed/>
    <w:rsid w:val="00C77CCA"/>
    <w:rPr>
      <w:vertAlign w:val="superscript"/>
    </w:rPr>
  </w:style>
  <w:style w:type="paragraph" w:styleId="Header">
    <w:name w:val="header"/>
    <w:basedOn w:val="Normal"/>
    <w:link w:val="HeaderChar"/>
    <w:uiPriority w:val="99"/>
    <w:unhideWhenUsed/>
    <w:rsid w:val="00364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BD1"/>
  </w:style>
  <w:style w:type="paragraph" w:styleId="Footer">
    <w:name w:val="footer"/>
    <w:basedOn w:val="Normal"/>
    <w:link w:val="FooterChar"/>
    <w:uiPriority w:val="99"/>
    <w:unhideWhenUsed/>
    <w:rsid w:val="00364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BD1"/>
  </w:style>
  <w:style w:type="paragraph" w:styleId="BalloonText">
    <w:name w:val="Balloon Text"/>
    <w:basedOn w:val="Normal"/>
    <w:link w:val="BalloonTextChar"/>
    <w:uiPriority w:val="99"/>
    <w:semiHidden/>
    <w:unhideWhenUsed/>
    <w:rsid w:val="00364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D1"/>
    <w:rPr>
      <w:rFonts w:ascii="Tahoma" w:hAnsi="Tahoma" w:cs="Tahoma"/>
      <w:sz w:val="16"/>
      <w:szCs w:val="16"/>
    </w:rPr>
  </w:style>
  <w:style w:type="paragraph" w:styleId="EndnoteText">
    <w:name w:val="endnote text"/>
    <w:basedOn w:val="Normal"/>
    <w:link w:val="EndnoteTextChar"/>
    <w:uiPriority w:val="99"/>
    <w:semiHidden/>
    <w:unhideWhenUsed/>
    <w:rsid w:val="000C2A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2A8F"/>
    <w:rPr>
      <w:sz w:val="20"/>
      <w:szCs w:val="20"/>
    </w:rPr>
  </w:style>
  <w:style w:type="character" w:styleId="EndnoteReference">
    <w:name w:val="endnote reference"/>
    <w:basedOn w:val="DefaultParagraphFont"/>
    <w:uiPriority w:val="99"/>
    <w:semiHidden/>
    <w:unhideWhenUsed/>
    <w:rsid w:val="000C2A8F"/>
    <w:rPr>
      <w:vertAlign w:val="superscript"/>
    </w:rPr>
  </w:style>
  <w:style w:type="paragraph" w:styleId="PlainText">
    <w:name w:val="Plain Text"/>
    <w:basedOn w:val="Normal"/>
    <w:link w:val="PlainTextChar"/>
    <w:uiPriority w:val="99"/>
    <w:semiHidden/>
    <w:unhideWhenUsed/>
    <w:rsid w:val="004D168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168E"/>
    <w:rPr>
      <w:rFonts w:ascii="Calibri" w:hAnsi="Calibri"/>
      <w:szCs w:val="21"/>
    </w:rPr>
  </w:style>
  <w:style w:type="character" w:styleId="CommentReference">
    <w:name w:val="annotation reference"/>
    <w:basedOn w:val="DefaultParagraphFont"/>
    <w:uiPriority w:val="99"/>
    <w:semiHidden/>
    <w:unhideWhenUsed/>
    <w:rsid w:val="004D168E"/>
    <w:rPr>
      <w:sz w:val="16"/>
      <w:szCs w:val="16"/>
    </w:rPr>
  </w:style>
  <w:style w:type="paragraph" w:styleId="CommentText">
    <w:name w:val="annotation text"/>
    <w:basedOn w:val="Normal"/>
    <w:link w:val="CommentTextChar"/>
    <w:uiPriority w:val="99"/>
    <w:semiHidden/>
    <w:unhideWhenUsed/>
    <w:rsid w:val="004D168E"/>
    <w:pPr>
      <w:spacing w:line="240" w:lineRule="auto"/>
    </w:pPr>
    <w:rPr>
      <w:sz w:val="20"/>
      <w:szCs w:val="20"/>
    </w:rPr>
  </w:style>
  <w:style w:type="character" w:customStyle="1" w:styleId="CommentTextChar">
    <w:name w:val="Comment Text Char"/>
    <w:basedOn w:val="DefaultParagraphFont"/>
    <w:link w:val="CommentText"/>
    <w:uiPriority w:val="99"/>
    <w:semiHidden/>
    <w:rsid w:val="004D168E"/>
    <w:rPr>
      <w:sz w:val="20"/>
      <w:szCs w:val="20"/>
    </w:rPr>
  </w:style>
  <w:style w:type="paragraph" w:styleId="CommentSubject">
    <w:name w:val="annotation subject"/>
    <w:basedOn w:val="CommentText"/>
    <w:next w:val="CommentText"/>
    <w:link w:val="CommentSubjectChar"/>
    <w:uiPriority w:val="99"/>
    <w:semiHidden/>
    <w:unhideWhenUsed/>
    <w:rsid w:val="004D168E"/>
    <w:rPr>
      <w:b/>
      <w:bCs/>
    </w:rPr>
  </w:style>
  <w:style w:type="character" w:customStyle="1" w:styleId="CommentSubjectChar">
    <w:name w:val="Comment Subject Char"/>
    <w:basedOn w:val="CommentTextChar"/>
    <w:link w:val="CommentSubject"/>
    <w:uiPriority w:val="99"/>
    <w:semiHidden/>
    <w:rsid w:val="004D1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8583">
      <w:bodyDiv w:val="1"/>
      <w:marLeft w:val="0"/>
      <w:marRight w:val="0"/>
      <w:marTop w:val="0"/>
      <w:marBottom w:val="0"/>
      <w:divBdr>
        <w:top w:val="none" w:sz="0" w:space="0" w:color="auto"/>
        <w:left w:val="none" w:sz="0" w:space="0" w:color="auto"/>
        <w:bottom w:val="none" w:sz="0" w:space="0" w:color="auto"/>
        <w:right w:val="none" w:sz="0" w:space="0" w:color="auto"/>
      </w:divBdr>
    </w:div>
    <w:div w:id="108933005">
      <w:bodyDiv w:val="1"/>
      <w:marLeft w:val="0"/>
      <w:marRight w:val="0"/>
      <w:marTop w:val="0"/>
      <w:marBottom w:val="0"/>
      <w:divBdr>
        <w:top w:val="none" w:sz="0" w:space="0" w:color="auto"/>
        <w:left w:val="none" w:sz="0" w:space="0" w:color="auto"/>
        <w:bottom w:val="none" w:sz="0" w:space="0" w:color="auto"/>
        <w:right w:val="none" w:sz="0" w:space="0" w:color="auto"/>
      </w:divBdr>
    </w:div>
    <w:div w:id="262301299">
      <w:bodyDiv w:val="1"/>
      <w:marLeft w:val="0"/>
      <w:marRight w:val="0"/>
      <w:marTop w:val="0"/>
      <w:marBottom w:val="0"/>
      <w:divBdr>
        <w:top w:val="none" w:sz="0" w:space="0" w:color="auto"/>
        <w:left w:val="none" w:sz="0" w:space="0" w:color="auto"/>
        <w:bottom w:val="none" w:sz="0" w:space="0" w:color="auto"/>
        <w:right w:val="none" w:sz="0" w:space="0" w:color="auto"/>
      </w:divBdr>
    </w:div>
    <w:div w:id="11468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6223-3531-4D1E-8E6C-650F8328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OICS</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Burns</dc:creator>
  <cp:lastModifiedBy>Julie Nightingale</cp:lastModifiedBy>
  <cp:revision>2</cp:revision>
  <cp:lastPrinted>2015-01-28T02:29:00Z</cp:lastPrinted>
  <dcterms:created xsi:type="dcterms:W3CDTF">2016-05-18T01:37:00Z</dcterms:created>
  <dcterms:modified xsi:type="dcterms:W3CDTF">2016-05-18T01:37:00Z</dcterms:modified>
</cp:coreProperties>
</file>